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247"/>
        <w:gridCol w:w="4247"/>
      </w:tblGrid>
      <w:tr w:rsidR="004F01ED" w:rsidRPr="00DC372B" w:rsidTr="009D0859">
        <w:tc>
          <w:tcPr>
            <w:tcW w:w="4247" w:type="dxa"/>
          </w:tcPr>
          <w:p w:rsidR="004F01ED" w:rsidRPr="00DC372B" w:rsidRDefault="004F01ED" w:rsidP="009D0859">
            <w:pPr>
              <w:jc w:val="both"/>
              <w:rPr>
                <w:rFonts w:ascii="Verdana" w:hAnsi="Verdana"/>
              </w:rPr>
            </w:pPr>
            <w:r>
              <w:br w:type="page"/>
            </w:r>
          </w:p>
          <w:p w:rsidR="004F01ED" w:rsidRPr="00DC372B" w:rsidRDefault="004F01ED" w:rsidP="009D0859">
            <w:pPr>
              <w:rPr>
                <w:rFonts w:ascii="Verdana" w:hAnsi="Verdana"/>
              </w:rPr>
            </w:pPr>
            <w:r>
              <w:rPr>
                <w:rFonts w:ascii="Verdana" w:hAnsi="Verdana"/>
                <w:b/>
                <w:bCs/>
              </w:rPr>
              <w:t>PLAN DE CHOQUE ADMINISTRACIÓN DE JUSTICIA</w:t>
            </w:r>
          </w:p>
        </w:tc>
        <w:tc>
          <w:tcPr>
            <w:tcW w:w="4247" w:type="dxa"/>
          </w:tcPr>
          <w:p w:rsidR="004F01ED" w:rsidRPr="00DC372B" w:rsidRDefault="004F01ED" w:rsidP="009D0859">
            <w:pPr>
              <w:jc w:val="both"/>
              <w:rPr>
                <w:rFonts w:ascii="Verdana" w:hAnsi="Verdana"/>
              </w:rPr>
            </w:pPr>
          </w:p>
          <w:p w:rsidR="004F01ED" w:rsidRPr="00C46A50" w:rsidRDefault="004F01ED" w:rsidP="009D0859">
            <w:pPr>
              <w:jc w:val="both"/>
              <w:rPr>
                <w:rFonts w:ascii="Verdana" w:hAnsi="Verdana"/>
              </w:rPr>
            </w:pPr>
            <w:r w:rsidRPr="00C46A50">
              <w:rPr>
                <w:rFonts w:ascii="Verdana" w:hAnsi="Verdana"/>
              </w:rPr>
              <w:t>MEDIDA Nº:</w:t>
            </w:r>
            <w:r w:rsidRPr="00BA6BA9">
              <w:rPr>
                <w:rFonts w:ascii="Verdana" w:hAnsi="Verdana"/>
                <w:b/>
              </w:rPr>
              <w:t xml:space="preserve"> </w:t>
            </w:r>
            <w:r w:rsidR="00882236">
              <w:rPr>
                <w:rFonts w:ascii="Verdana" w:hAnsi="Verdana"/>
                <w:b/>
              </w:rPr>
              <w:t>8</w:t>
            </w:r>
            <w:bookmarkStart w:id="0" w:name="_GoBack"/>
            <w:bookmarkEnd w:id="0"/>
            <w:r w:rsidR="00BE612D">
              <w:rPr>
                <w:rFonts w:ascii="Verdana" w:hAnsi="Verdana"/>
                <w:b/>
              </w:rPr>
              <w:t xml:space="preserve"> (RDL)</w:t>
            </w:r>
          </w:p>
          <w:p w:rsidR="004F01ED" w:rsidRPr="00DC372B" w:rsidRDefault="004F01ED" w:rsidP="009D0859">
            <w:pPr>
              <w:jc w:val="both"/>
              <w:rPr>
                <w:rFonts w:ascii="Verdana" w:hAnsi="Verdana"/>
              </w:rPr>
            </w:pPr>
          </w:p>
          <w:p w:rsidR="004F01ED" w:rsidRPr="00DC372B" w:rsidRDefault="004F01ED" w:rsidP="009D0859">
            <w:pPr>
              <w:jc w:val="both"/>
              <w:rPr>
                <w:rFonts w:ascii="Verdana" w:hAnsi="Verdana"/>
              </w:rPr>
            </w:pPr>
          </w:p>
        </w:tc>
      </w:tr>
      <w:tr w:rsidR="004F01ED" w:rsidRPr="00DC372B" w:rsidTr="009D0859">
        <w:tc>
          <w:tcPr>
            <w:tcW w:w="8494" w:type="dxa"/>
            <w:gridSpan w:val="2"/>
          </w:tcPr>
          <w:p w:rsidR="004F01ED" w:rsidRDefault="004F01ED" w:rsidP="009D0859">
            <w:pPr>
              <w:jc w:val="both"/>
              <w:rPr>
                <w:rFonts w:ascii="Verdana" w:hAnsi="Verdana"/>
              </w:rPr>
            </w:pPr>
          </w:p>
          <w:p w:rsidR="004F01ED" w:rsidRDefault="004F01ED" w:rsidP="009D0859">
            <w:pPr>
              <w:jc w:val="both"/>
              <w:rPr>
                <w:rFonts w:ascii="Verdana" w:hAnsi="Verdana"/>
              </w:rPr>
            </w:pPr>
            <w:r>
              <w:rPr>
                <w:rFonts w:ascii="Verdana" w:hAnsi="Verdana"/>
              </w:rPr>
              <w:t xml:space="preserve">IDENTIFICACIÓN DE LA MEDIDA: </w:t>
            </w:r>
          </w:p>
          <w:p w:rsidR="004F01ED" w:rsidRDefault="004F01ED" w:rsidP="009D0859">
            <w:pPr>
              <w:jc w:val="both"/>
              <w:rPr>
                <w:rFonts w:ascii="Verdana" w:hAnsi="Verdana"/>
              </w:rPr>
            </w:pPr>
          </w:p>
          <w:p w:rsidR="004F01ED" w:rsidRDefault="00761C0D" w:rsidP="009D0859">
            <w:pPr>
              <w:jc w:val="both"/>
              <w:rPr>
                <w:rFonts w:ascii="Verdana" w:hAnsi="Verdana"/>
              </w:rPr>
            </w:pPr>
            <w:r>
              <w:rPr>
                <w:rFonts w:ascii="Verdana" w:hAnsi="Verdana"/>
              </w:rPr>
              <w:t>Inclusión</w:t>
            </w:r>
            <w:r w:rsidR="004F01ED">
              <w:rPr>
                <w:rFonts w:ascii="Verdana" w:hAnsi="Verdana"/>
              </w:rPr>
              <w:t xml:space="preserve"> de una Disposición </w:t>
            </w:r>
            <w:r w:rsidR="00915B15">
              <w:rPr>
                <w:rFonts w:ascii="Verdana" w:hAnsi="Verdana"/>
              </w:rPr>
              <w:t>Transitoria</w:t>
            </w:r>
            <w:r w:rsidR="004F01ED">
              <w:rPr>
                <w:rFonts w:ascii="Verdana" w:hAnsi="Verdana"/>
              </w:rPr>
              <w:t xml:space="preserve"> en la Ley Reguladora de la Jurisdicción Contencioso administrativa relativ</w:t>
            </w:r>
            <w:r>
              <w:rPr>
                <w:rFonts w:ascii="Verdana" w:hAnsi="Verdana"/>
              </w:rPr>
              <w:t>a</w:t>
            </w:r>
            <w:r w:rsidR="004F01ED">
              <w:rPr>
                <w:rFonts w:ascii="Verdana" w:hAnsi="Verdana"/>
              </w:rPr>
              <w:t xml:space="preserve"> </w:t>
            </w:r>
            <w:r>
              <w:rPr>
                <w:rFonts w:ascii="Verdana" w:hAnsi="Verdana"/>
              </w:rPr>
              <w:t>la tramitación de los procedimientos abreviados</w:t>
            </w:r>
            <w:r w:rsidR="004F01ED">
              <w:rPr>
                <w:rFonts w:ascii="Verdana" w:hAnsi="Verdana"/>
              </w:rPr>
              <w:t>.</w:t>
            </w:r>
          </w:p>
          <w:p w:rsidR="004F01ED" w:rsidRPr="00DC372B" w:rsidRDefault="004F01ED" w:rsidP="009D0859">
            <w:pPr>
              <w:jc w:val="both"/>
              <w:rPr>
                <w:rFonts w:ascii="Verdana" w:hAnsi="Verdana"/>
              </w:rPr>
            </w:pPr>
            <w:r w:rsidRPr="00DC372B">
              <w:rPr>
                <w:rFonts w:ascii="Verdana" w:hAnsi="Verdana"/>
              </w:rPr>
              <w:t xml:space="preserve"> </w:t>
            </w:r>
          </w:p>
        </w:tc>
      </w:tr>
      <w:tr w:rsidR="004F01ED" w:rsidTr="009D0859">
        <w:tc>
          <w:tcPr>
            <w:tcW w:w="8494" w:type="dxa"/>
            <w:gridSpan w:val="2"/>
          </w:tcPr>
          <w:p w:rsidR="004F01ED" w:rsidRDefault="004F01ED" w:rsidP="009D0859">
            <w:pPr>
              <w:jc w:val="both"/>
              <w:rPr>
                <w:rFonts w:ascii="Verdana" w:hAnsi="Verdana"/>
              </w:rPr>
            </w:pPr>
          </w:p>
          <w:p w:rsidR="004F01ED" w:rsidRDefault="004F01ED" w:rsidP="009D0859">
            <w:pPr>
              <w:jc w:val="both"/>
              <w:rPr>
                <w:rFonts w:ascii="Verdana" w:hAnsi="Verdana"/>
              </w:rPr>
            </w:pPr>
            <w:r>
              <w:rPr>
                <w:rFonts w:ascii="Verdana" w:hAnsi="Verdana"/>
              </w:rPr>
              <w:t>TIPO DE MEDIDA:</w:t>
            </w:r>
          </w:p>
          <w:p w:rsidR="004F01ED" w:rsidRDefault="004F01ED" w:rsidP="009D0859">
            <w:pPr>
              <w:jc w:val="both"/>
              <w:rPr>
                <w:rFonts w:ascii="Verdana" w:hAnsi="Verdana"/>
                <w:i/>
                <w:iCs/>
                <w:color w:val="FF0000"/>
              </w:rPr>
            </w:pPr>
            <w:r>
              <w:rPr>
                <w:rFonts w:ascii="Verdana" w:hAnsi="Verdana"/>
              </w:rPr>
              <w:t xml:space="preserve"> </w:t>
            </w:r>
          </w:p>
          <w:p w:rsidR="004F01ED" w:rsidRDefault="004F01ED" w:rsidP="009D0859">
            <w:pPr>
              <w:jc w:val="both"/>
              <w:rPr>
                <w:rFonts w:ascii="Verdana" w:hAnsi="Verdana"/>
              </w:rPr>
            </w:pPr>
            <w:r>
              <w:rPr>
                <w:rFonts w:ascii="Verdana" w:hAnsi="Verdana"/>
                <w:iCs/>
              </w:rPr>
              <w:t>Medida para la jurisdicción contencioso-administrativa.</w:t>
            </w:r>
            <w:r>
              <w:rPr>
                <w:rFonts w:ascii="Verdana" w:hAnsi="Verdana"/>
              </w:rPr>
              <w:t xml:space="preserve"> </w:t>
            </w:r>
          </w:p>
          <w:p w:rsidR="004F01ED" w:rsidRDefault="004F01ED" w:rsidP="009D0859">
            <w:pPr>
              <w:jc w:val="both"/>
              <w:rPr>
                <w:rFonts w:ascii="Verdana" w:hAnsi="Verdana"/>
              </w:rPr>
            </w:pPr>
          </w:p>
        </w:tc>
      </w:tr>
      <w:tr w:rsidR="004F01ED" w:rsidTr="009D0859">
        <w:tc>
          <w:tcPr>
            <w:tcW w:w="8494" w:type="dxa"/>
            <w:gridSpan w:val="2"/>
          </w:tcPr>
          <w:p w:rsidR="004F01ED" w:rsidRDefault="004F01ED" w:rsidP="009D0859">
            <w:pPr>
              <w:jc w:val="both"/>
              <w:rPr>
                <w:rFonts w:ascii="Verdana" w:hAnsi="Verdana"/>
              </w:rPr>
            </w:pPr>
          </w:p>
          <w:p w:rsidR="004F01ED" w:rsidRDefault="004F01ED" w:rsidP="009D0859">
            <w:pPr>
              <w:jc w:val="both"/>
              <w:rPr>
                <w:rFonts w:ascii="Verdana" w:hAnsi="Verdana"/>
              </w:rPr>
            </w:pPr>
            <w:r w:rsidRPr="002A373A">
              <w:rPr>
                <w:rFonts w:ascii="Verdana" w:hAnsi="Verdana"/>
              </w:rPr>
              <w:t xml:space="preserve">OBJETIVO DE LA </w:t>
            </w:r>
            <w:r>
              <w:rPr>
                <w:rFonts w:ascii="Verdana" w:hAnsi="Verdana"/>
              </w:rPr>
              <w:t xml:space="preserve">MEDIDA: </w:t>
            </w:r>
          </w:p>
          <w:p w:rsidR="004F01ED" w:rsidRDefault="004F01ED" w:rsidP="009D0859">
            <w:pPr>
              <w:jc w:val="both"/>
              <w:rPr>
                <w:rFonts w:ascii="Verdana" w:hAnsi="Verdana"/>
              </w:rPr>
            </w:pPr>
          </w:p>
          <w:p w:rsidR="004F01ED" w:rsidRDefault="004F01ED" w:rsidP="00761C0D">
            <w:pPr>
              <w:jc w:val="both"/>
              <w:rPr>
                <w:rFonts w:ascii="Verdana" w:hAnsi="Verdana"/>
              </w:rPr>
            </w:pPr>
            <w:r>
              <w:rPr>
                <w:rFonts w:ascii="Verdana" w:hAnsi="Verdana"/>
              </w:rPr>
              <w:t xml:space="preserve">El objetivo </w:t>
            </w:r>
            <w:r w:rsidR="00761C0D">
              <w:rPr>
                <w:rFonts w:ascii="Verdana" w:hAnsi="Verdana"/>
              </w:rPr>
              <w:t>de la medida es posibilitar la tramitación de los procedimientos abreviados, ya incoados o que se incoen con posterioridad a la entrada en vigor de la disposición</w:t>
            </w:r>
            <w:r w:rsidR="00CF5A84">
              <w:rPr>
                <w:rFonts w:ascii="Verdana" w:hAnsi="Verdana"/>
              </w:rPr>
              <w:t xml:space="preserve"> y mientras dure la alerta sanitaria</w:t>
            </w:r>
            <w:r w:rsidR="00761C0D">
              <w:rPr>
                <w:rFonts w:ascii="Verdana" w:hAnsi="Verdana"/>
              </w:rPr>
              <w:t>, evitando, cuando ello sea posible, la celebración de vistas.</w:t>
            </w:r>
          </w:p>
          <w:p w:rsidR="00761C0D" w:rsidRDefault="00761C0D" w:rsidP="00761C0D">
            <w:pPr>
              <w:jc w:val="both"/>
              <w:rPr>
                <w:rFonts w:ascii="Verdana" w:hAnsi="Verdana"/>
              </w:rPr>
            </w:pPr>
          </w:p>
          <w:p w:rsidR="00761C0D" w:rsidRDefault="00761C0D" w:rsidP="00761C0D">
            <w:pPr>
              <w:jc w:val="both"/>
              <w:rPr>
                <w:rFonts w:ascii="Verdana" w:hAnsi="Verdana"/>
              </w:rPr>
            </w:pPr>
            <w:r>
              <w:rPr>
                <w:rFonts w:ascii="Verdana" w:hAnsi="Verdana"/>
              </w:rPr>
              <w:t>Con ello se pretende conciliar la necesidad de tramitación y conclusión de los procedimientos con el mantenimiento, en la medida de lo posible, de las medidas de distanciamiento social necesarias para hacer frente a la pandemia provocada por el virus SARS-CoV-2.</w:t>
            </w:r>
          </w:p>
          <w:p w:rsidR="00761C0D" w:rsidRDefault="00761C0D" w:rsidP="00761C0D">
            <w:pPr>
              <w:jc w:val="both"/>
              <w:rPr>
                <w:rFonts w:ascii="Verdana" w:hAnsi="Verdana"/>
              </w:rPr>
            </w:pPr>
          </w:p>
          <w:p w:rsidR="00761C0D" w:rsidRDefault="00761C0D" w:rsidP="00761C0D">
            <w:pPr>
              <w:jc w:val="both"/>
              <w:rPr>
                <w:rFonts w:ascii="Verdana" w:hAnsi="Verdana"/>
              </w:rPr>
            </w:pPr>
            <w:r>
              <w:rPr>
                <w:rFonts w:ascii="Verdana" w:hAnsi="Verdana"/>
              </w:rPr>
              <w:t>La urgencia y necesidad de la medida se hace evidente cuando se considera los riesgos de contagio derivados de la aglomeración de personas en un espacio cerrado, por lo que resulta imprescindible para ase</w:t>
            </w:r>
            <w:r w:rsidR="00915B15">
              <w:rPr>
                <w:rFonts w:ascii="Verdana" w:hAnsi="Verdana"/>
              </w:rPr>
              <w:t>gurar la salud de las personas arbitrar formas de tramitación de los procedimientos que, sin merma de los derechos de defensa, posibiliten que dicha tramitación se lleve a cabo evitando la presencia de personas en esos espacios cerrados cuando su presencia sea prescindible.</w:t>
            </w:r>
          </w:p>
          <w:p w:rsidR="00915B15" w:rsidRDefault="00915B15" w:rsidP="00761C0D">
            <w:pPr>
              <w:jc w:val="both"/>
              <w:rPr>
                <w:rFonts w:ascii="Verdana" w:hAnsi="Verdana"/>
              </w:rPr>
            </w:pPr>
          </w:p>
          <w:p w:rsidR="004F01ED" w:rsidRDefault="004F01ED" w:rsidP="009D0859">
            <w:pPr>
              <w:jc w:val="both"/>
              <w:rPr>
                <w:rFonts w:ascii="Verdana" w:hAnsi="Verdana"/>
              </w:rPr>
            </w:pPr>
          </w:p>
        </w:tc>
      </w:tr>
      <w:tr w:rsidR="004F01ED" w:rsidTr="009D0859">
        <w:tc>
          <w:tcPr>
            <w:tcW w:w="8494" w:type="dxa"/>
            <w:gridSpan w:val="2"/>
          </w:tcPr>
          <w:p w:rsidR="004F01ED" w:rsidRDefault="004F01ED" w:rsidP="009D0859">
            <w:pPr>
              <w:jc w:val="both"/>
              <w:rPr>
                <w:rFonts w:ascii="Verdana" w:hAnsi="Verdana"/>
              </w:rPr>
            </w:pPr>
          </w:p>
          <w:p w:rsidR="004F01ED" w:rsidRDefault="004F01ED" w:rsidP="009D0859">
            <w:pPr>
              <w:jc w:val="both"/>
              <w:rPr>
                <w:rFonts w:ascii="Verdana" w:hAnsi="Verdana"/>
              </w:rPr>
            </w:pPr>
            <w:r>
              <w:rPr>
                <w:rFonts w:ascii="Verdana" w:hAnsi="Verdana"/>
              </w:rPr>
              <w:t>COLECTIVOS PROFESIONALES AFECTADOS:</w:t>
            </w:r>
          </w:p>
          <w:p w:rsidR="004F01ED" w:rsidRDefault="004F01ED" w:rsidP="009D0859">
            <w:pPr>
              <w:jc w:val="both"/>
              <w:rPr>
                <w:rFonts w:ascii="Verdana" w:hAnsi="Verdana"/>
              </w:rPr>
            </w:pPr>
          </w:p>
          <w:p w:rsidR="004F01ED" w:rsidRDefault="004F01ED" w:rsidP="009D0859">
            <w:pPr>
              <w:jc w:val="both"/>
              <w:rPr>
                <w:rFonts w:ascii="Verdana" w:hAnsi="Verdana"/>
              </w:rPr>
            </w:pPr>
            <w:r>
              <w:rPr>
                <w:rFonts w:ascii="Verdana" w:hAnsi="Verdana"/>
              </w:rPr>
              <w:t>Jueces y magistrados, LAG, abogados (de particulares, empresas y Administraciones Públicas) y procuradores.</w:t>
            </w:r>
          </w:p>
          <w:p w:rsidR="004F01ED" w:rsidRDefault="004F01ED" w:rsidP="009D0859">
            <w:pPr>
              <w:jc w:val="both"/>
              <w:rPr>
                <w:rFonts w:ascii="Verdana" w:hAnsi="Verdana"/>
              </w:rPr>
            </w:pPr>
          </w:p>
        </w:tc>
      </w:tr>
      <w:tr w:rsidR="004F01ED" w:rsidTr="009D0859">
        <w:tc>
          <w:tcPr>
            <w:tcW w:w="8494" w:type="dxa"/>
            <w:gridSpan w:val="2"/>
          </w:tcPr>
          <w:p w:rsidR="004F01ED" w:rsidRDefault="004F01ED" w:rsidP="009D0859">
            <w:pPr>
              <w:jc w:val="both"/>
              <w:rPr>
                <w:rFonts w:ascii="Verdana" w:hAnsi="Verdana"/>
              </w:rPr>
            </w:pPr>
          </w:p>
          <w:p w:rsidR="004F01ED" w:rsidRPr="004E3DC2" w:rsidRDefault="004F01ED" w:rsidP="009D0859">
            <w:pPr>
              <w:jc w:val="both"/>
              <w:rPr>
                <w:rFonts w:ascii="Verdana" w:hAnsi="Verdana"/>
              </w:rPr>
            </w:pPr>
            <w:r>
              <w:rPr>
                <w:rFonts w:ascii="Verdana" w:hAnsi="Verdana"/>
              </w:rPr>
              <w:t xml:space="preserve">ADMINISTRACIONES/COLECTIVOS QUE DEBEN PARTICIPAR EN LA EJECUCIÓN: </w:t>
            </w:r>
          </w:p>
          <w:p w:rsidR="004F01ED" w:rsidRDefault="004F01ED" w:rsidP="009D0859">
            <w:pPr>
              <w:jc w:val="both"/>
              <w:rPr>
                <w:rFonts w:ascii="Verdana" w:hAnsi="Verdana"/>
              </w:rPr>
            </w:pPr>
          </w:p>
          <w:p w:rsidR="004F01ED" w:rsidRPr="009476A3" w:rsidRDefault="004F01ED" w:rsidP="009D0859">
            <w:pPr>
              <w:jc w:val="both"/>
              <w:rPr>
                <w:rFonts w:ascii="Verdana" w:hAnsi="Verdana"/>
                <w:iCs/>
              </w:rPr>
            </w:pPr>
            <w:r w:rsidRPr="009476A3">
              <w:rPr>
                <w:rFonts w:ascii="Verdana" w:hAnsi="Verdana"/>
                <w:iCs/>
              </w:rPr>
              <w:t>Ministerio de Justicia</w:t>
            </w:r>
            <w:r>
              <w:rPr>
                <w:rFonts w:ascii="Verdana" w:hAnsi="Verdana"/>
                <w:iCs/>
              </w:rPr>
              <w:t xml:space="preserve"> para el impulso de un </w:t>
            </w:r>
            <w:r w:rsidR="00C50356">
              <w:rPr>
                <w:rFonts w:ascii="Verdana" w:hAnsi="Verdana"/>
                <w:iCs/>
              </w:rPr>
              <w:t>Real Decreto-Ley</w:t>
            </w:r>
            <w:r>
              <w:rPr>
                <w:rFonts w:ascii="Verdana" w:hAnsi="Verdana"/>
                <w:iCs/>
              </w:rPr>
              <w:t xml:space="preserve"> y las Cortes Generales para </w:t>
            </w:r>
            <w:r w:rsidR="00C50356">
              <w:rPr>
                <w:rFonts w:ascii="Verdana" w:hAnsi="Verdana"/>
                <w:iCs/>
              </w:rPr>
              <w:t>su convalidación</w:t>
            </w:r>
            <w:r>
              <w:rPr>
                <w:rFonts w:ascii="Verdana" w:hAnsi="Verdana"/>
                <w:iCs/>
              </w:rPr>
              <w:t>.</w:t>
            </w:r>
          </w:p>
          <w:p w:rsidR="004F01ED" w:rsidRDefault="004F01ED" w:rsidP="009D0859">
            <w:pPr>
              <w:jc w:val="both"/>
              <w:rPr>
                <w:rFonts w:ascii="Verdana" w:hAnsi="Verdana"/>
              </w:rPr>
            </w:pPr>
          </w:p>
          <w:p w:rsidR="00915B15" w:rsidRDefault="00915B15" w:rsidP="009D0859">
            <w:pPr>
              <w:jc w:val="both"/>
              <w:rPr>
                <w:rFonts w:ascii="Verdana" w:hAnsi="Verdana"/>
              </w:rPr>
            </w:pPr>
          </w:p>
        </w:tc>
      </w:tr>
      <w:tr w:rsidR="004F01ED" w:rsidRPr="00B26049" w:rsidTr="009D0859">
        <w:tc>
          <w:tcPr>
            <w:tcW w:w="8494" w:type="dxa"/>
            <w:gridSpan w:val="2"/>
          </w:tcPr>
          <w:p w:rsidR="004F01ED" w:rsidRDefault="004F01ED" w:rsidP="009D0859">
            <w:pPr>
              <w:jc w:val="both"/>
              <w:rPr>
                <w:rFonts w:ascii="Verdana" w:hAnsi="Verdana"/>
              </w:rPr>
            </w:pPr>
          </w:p>
          <w:p w:rsidR="004F01ED" w:rsidRDefault="004F01ED" w:rsidP="009D0859">
            <w:pPr>
              <w:jc w:val="both"/>
              <w:rPr>
                <w:rFonts w:ascii="Verdana" w:hAnsi="Verdana"/>
                <w:i/>
                <w:iCs/>
                <w:color w:val="FF0000"/>
              </w:rPr>
            </w:pPr>
            <w:r>
              <w:rPr>
                <w:rFonts w:ascii="Verdana" w:hAnsi="Verdana"/>
              </w:rPr>
              <w:t xml:space="preserve">MEDIDAS NECESARIAS PARA LA EJECUCIÓN: </w:t>
            </w:r>
          </w:p>
          <w:p w:rsidR="004F01ED" w:rsidRDefault="004F01ED" w:rsidP="009D0859">
            <w:pPr>
              <w:jc w:val="both"/>
              <w:rPr>
                <w:rFonts w:ascii="Verdana" w:hAnsi="Verdana"/>
              </w:rPr>
            </w:pPr>
          </w:p>
          <w:p w:rsidR="004F01ED" w:rsidRDefault="004F01ED" w:rsidP="009D0859">
            <w:pPr>
              <w:jc w:val="both"/>
              <w:rPr>
                <w:rFonts w:ascii="Verdana" w:hAnsi="Verdana"/>
                <w:b/>
              </w:rPr>
            </w:pPr>
            <w:r w:rsidRPr="001D6753">
              <w:rPr>
                <w:rFonts w:ascii="Verdana" w:hAnsi="Verdana"/>
                <w:b/>
              </w:rPr>
              <w:t>I. Adición de una Disposición Transitoria décima en la Ley Reguladora de la Jurisdicción Contencioso-administrativa con el siguiente contenido:</w:t>
            </w:r>
          </w:p>
          <w:p w:rsidR="004F01ED" w:rsidRDefault="004F01ED" w:rsidP="009D0859">
            <w:pPr>
              <w:jc w:val="both"/>
              <w:rPr>
                <w:rFonts w:ascii="Verdana" w:hAnsi="Verdana"/>
              </w:rPr>
            </w:pPr>
          </w:p>
          <w:p w:rsidR="004F01ED" w:rsidRDefault="004F01ED" w:rsidP="009D0859">
            <w:pPr>
              <w:jc w:val="both"/>
              <w:rPr>
                <w:rFonts w:ascii="Verdana" w:hAnsi="Verdana"/>
              </w:rPr>
            </w:pPr>
            <w:r w:rsidRPr="00151078">
              <w:rPr>
                <w:rFonts w:ascii="Verdana" w:hAnsi="Verdana"/>
                <w:b/>
              </w:rPr>
              <w:t>- Regulación actual</w:t>
            </w:r>
            <w:r>
              <w:rPr>
                <w:rFonts w:ascii="Verdana" w:hAnsi="Verdana"/>
              </w:rPr>
              <w:t>:</w:t>
            </w:r>
          </w:p>
          <w:p w:rsidR="004F01ED" w:rsidRDefault="004F01ED" w:rsidP="009D0859">
            <w:pPr>
              <w:jc w:val="both"/>
              <w:rPr>
                <w:rFonts w:ascii="Verdana" w:hAnsi="Verdana"/>
              </w:rPr>
            </w:pPr>
          </w:p>
          <w:p w:rsidR="004F01ED" w:rsidRDefault="004F01ED" w:rsidP="009D0859">
            <w:pPr>
              <w:jc w:val="both"/>
              <w:rPr>
                <w:rFonts w:ascii="Verdana" w:hAnsi="Verdana"/>
              </w:rPr>
            </w:pPr>
            <w:r>
              <w:rPr>
                <w:rFonts w:ascii="Verdana" w:hAnsi="Verdana"/>
              </w:rPr>
              <w:t>Inexistente (adición).</w:t>
            </w:r>
          </w:p>
          <w:p w:rsidR="004F01ED" w:rsidRDefault="004F01ED" w:rsidP="009D0859">
            <w:pPr>
              <w:jc w:val="both"/>
              <w:rPr>
                <w:rFonts w:ascii="Verdana" w:hAnsi="Verdana"/>
              </w:rPr>
            </w:pPr>
          </w:p>
          <w:p w:rsidR="004F01ED" w:rsidRPr="00151078" w:rsidRDefault="004F01ED" w:rsidP="009D0859">
            <w:pPr>
              <w:jc w:val="both"/>
              <w:rPr>
                <w:rFonts w:ascii="Verdana" w:hAnsi="Verdana"/>
              </w:rPr>
            </w:pPr>
            <w:r w:rsidRPr="00151078">
              <w:rPr>
                <w:rFonts w:ascii="Verdana" w:hAnsi="Verdana"/>
                <w:b/>
              </w:rPr>
              <w:t>- Regulación propuesta</w:t>
            </w:r>
            <w:r>
              <w:rPr>
                <w:rFonts w:ascii="Verdana" w:hAnsi="Verdana"/>
              </w:rPr>
              <w:t>:</w:t>
            </w:r>
          </w:p>
          <w:p w:rsidR="004F01ED" w:rsidRDefault="004F01ED" w:rsidP="009D0859">
            <w:pPr>
              <w:jc w:val="both"/>
              <w:rPr>
                <w:rFonts w:ascii="Verdana" w:hAnsi="Verdana"/>
              </w:rPr>
            </w:pPr>
          </w:p>
          <w:p w:rsidR="004F01ED" w:rsidRPr="00151078" w:rsidRDefault="004F01ED" w:rsidP="009D0859">
            <w:pPr>
              <w:jc w:val="both"/>
              <w:rPr>
                <w:rFonts w:ascii="Verdana" w:hAnsi="Verdana" w:cs="Times New Roman"/>
                <w:i/>
                <w:color w:val="FF0000"/>
              </w:rPr>
            </w:pPr>
            <w:r>
              <w:rPr>
                <w:rFonts w:ascii="Times New Roman" w:hAnsi="Times New Roman" w:cs="Times New Roman"/>
              </w:rPr>
              <w:t>«</w:t>
            </w:r>
            <w:r w:rsidRPr="00151078">
              <w:rPr>
                <w:rFonts w:ascii="Verdana" w:hAnsi="Verdana" w:cs="Times New Roman"/>
                <w:i/>
                <w:color w:val="FF0000"/>
              </w:rPr>
              <w:t xml:space="preserve">Disposición </w:t>
            </w:r>
            <w:r w:rsidR="00915B15">
              <w:rPr>
                <w:rFonts w:ascii="Verdana" w:hAnsi="Verdana" w:cs="Times New Roman"/>
                <w:i/>
                <w:color w:val="FF0000"/>
              </w:rPr>
              <w:t>Transitorio</w:t>
            </w:r>
            <w:r w:rsidRPr="00151078">
              <w:rPr>
                <w:rFonts w:ascii="Verdana" w:hAnsi="Verdana" w:cs="Times New Roman"/>
                <w:i/>
                <w:color w:val="FF0000"/>
              </w:rPr>
              <w:t xml:space="preserve">.  Régimen transitorio </w:t>
            </w:r>
            <w:r>
              <w:rPr>
                <w:rFonts w:ascii="Verdana" w:hAnsi="Verdana" w:cs="Times New Roman"/>
                <w:i/>
                <w:color w:val="FF0000"/>
              </w:rPr>
              <w:t>aplicable</w:t>
            </w:r>
            <w:r w:rsidRPr="00151078">
              <w:rPr>
                <w:rFonts w:ascii="Verdana" w:hAnsi="Verdana" w:cs="Times New Roman"/>
                <w:i/>
                <w:color w:val="FF0000"/>
              </w:rPr>
              <w:t xml:space="preserve"> </w:t>
            </w:r>
            <w:r w:rsidR="00915B15">
              <w:rPr>
                <w:rFonts w:ascii="Verdana" w:hAnsi="Verdana" w:cs="Times New Roman"/>
                <w:i/>
                <w:color w:val="FF0000"/>
              </w:rPr>
              <w:t>al procedimiento abreviado durante la situación de alerta sanitaria provocada por el virus SARS-CoV-2 (COVID-19)</w:t>
            </w:r>
            <w:r>
              <w:rPr>
                <w:rFonts w:ascii="Verdana" w:hAnsi="Verdana" w:cs="Times New Roman"/>
                <w:i/>
                <w:color w:val="FF0000"/>
              </w:rPr>
              <w:t>.</w:t>
            </w: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r w:rsidRPr="00151078">
              <w:rPr>
                <w:rFonts w:ascii="Verdana" w:hAnsi="Verdana" w:cs="Times New Roman"/>
                <w:i/>
                <w:color w:val="FF0000"/>
              </w:rPr>
              <w:t>A los procedimientos abreviados incoados con anterioridad a la entrada en vigor del Real Decreto-Ley cuya vista aún no se hubiese celebrado</w:t>
            </w:r>
            <w:r w:rsidR="00915B15">
              <w:rPr>
                <w:rFonts w:ascii="Verdana" w:hAnsi="Verdana" w:cs="Times New Roman"/>
                <w:i/>
                <w:color w:val="FF0000"/>
              </w:rPr>
              <w:t>, o a los que se incoen con posterioridad mientras permanezca en vigor la presente disposición transitoria,</w:t>
            </w:r>
            <w:r w:rsidRPr="00151078">
              <w:rPr>
                <w:rFonts w:ascii="Verdana" w:hAnsi="Verdana" w:cs="Times New Roman"/>
                <w:i/>
                <w:color w:val="FF0000"/>
              </w:rPr>
              <w:t xml:space="preserve"> les será de aplicación el siguiente régimen:</w:t>
            </w: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r w:rsidRPr="00151078">
              <w:rPr>
                <w:rFonts w:ascii="Verdana" w:hAnsi="Verdana" w:cs="Times New Roman"/>
                <w:i/>
                <w:color w:val="FF0000"/>
              </w:rPr>
              <w:t>a) Si de la demanda se desprende con claridad que los elementos probatorios que soportan la pretensión actora son esencialmente el expediente administrativo y, en su caso, los documentos e informes aportados junto con la demanda, el LAJ, mediante decreto, dará traslado de ella y de los documentos aportados a la Administración demandada y, en su caso, a los codemandados que hubieren comparecido, para que la contesten  por escrito, en el plazo común de 20 días.</w:t>
            </w: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r w:rsidRPr="00151078">
              <w:rPr>
                <w:rFonts w:ascii="Verdana" w:hAnsi="Verdana" w:cs="Times New Roman"/>
                <w:i/>
                <w:color w:val="FF0000"/>
              </w:rPr>
              <w:t>b) En el mismo decreto, se advertirá a las partes que el pleito se fallará sin vista y sólo en atención a lo que conste en el expediente administrativo y en los documentos presentados con la demanda y los que puedan aportar los demandados con la contestación a la demanda.</w:t>
            </w: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r w:rsidRPr="00151078">
              <w:rPr>
                <w:rFonts w:ascii="Verdana" w:hAnsi="Verdana" w:cs="Times New Roman"/>
                <w:i/>
                <w:color w:val="FF0000"/>
              </w:rPr>
              <w:t>c) Si en el plazo de 10 días desde la notificación del decreto, ninguna de las partes se opone a esta forma de proceder, se declarará el pleito concluso para sentencia una vez contestada la demanda, salvo que el juez haga uso de la facultad prevista en el artículo 61, suspendiendo la vista que, en su caso, se hubiese señalado con anterioridad.</w:t>
            </w: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r w:rsidRPr="00151078">
              <w:rPr>
                <w:rFonts w:ascii="Verdana" w:hAnsi="Verdana" w:cs="Times New Roman"/>
                <w:i/>
                <w:color w:val="FF0000"/>
              </w:rPr>
              <w:t xml:space="preserve">d)  El Juez dictará sentencia en el plazo de diez días desde que se hubiese declarado concluso el procedimiento sin celebración de vista.  </w:t>
            </w: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r w:rsidRPr="00151078">
              <w:rPr>
                <w:rFonts w:ascii="Verdana" w:hAnsi="Verdana" w:cs="Times New Roman"/>
                <w:i/>
                <w:color w:val="FF0000"/>
              </w:rPr>
              <w:t xml:space="preserve">e)  Cuando se trate de asuntos en los que no quepa ulterior recurso y se hubiese celebrado vista, en el mismo acto de la vista o en una comparecencia posterior a la que se citará a las partes, la sentencia podrá ser dictada de viva voz.  En tal caso, el Juez expondrá verbalmente y de manera sintética los razonamientos de la decisión en relación con los motivos de recurso y de oposición y pronunciará su fallo decidiendo sobre todas las cuestiones planteadas en el proceso, de conformidad con lo </w:t>
            </w:r>
            <w:r w:rsidRPr="00151078">
              <w:rPr>
                <w:rFonts w:ascii="Verdana" w:hAnsi="Verdana" w:cs="Times New Roman"/>
                <w:i/>
                <w:color w:val="FF0000"/>
              </w:rPr>
              <w:lastRenderedPageBreak/>
              <w:t>dispuesto en los artículos 68 a 71.</w:t>
            </w:r>
          </w:p>
          <w:p w:rsidR="004F01ED" w:rsidRPr="00151078" w:rsidRDefault="004F01ED" w:rsidP="009D0859">
            <w:pPr>
              <w:jc w:val="both"/>
              <w:rPr>
                <w:rFonts w:ascii="Verdana" w:hAnsi="Verdana" w:cs="Times New Roman"/>
                <w:i/>
                <w:color w:val="FF0000"/>
              </w:rPr>
            </w:pPr>
          </w:p>
          <w:p w:rsidR="004F01ED" w:rsidRPr="00151078" w:rsidRDefault="004F01ED" w:rsidP="009D0859">
            <w:pPr>
              <w:jc w:val="both"/>
              <w:rPr>
                <w:rFonts w:ascii="Verdana" w:hAnsi="Verdana" w:cs="Times New Roman"/>
                <w:i/>
                <w:color w:val="FF0000"/>
              </w:rPr>
            </w:pPr>
            <w:r w:rsidRPr="00151078">
              <w:rPr>
                <w:rFonts w:ascii="Verdana" w:hAnsi="Verdana" w:cs="Times New Roman"/>
                <w:i/>
                <w:color w:val="FF0000"/>
              </w:rPr>
              <w:t>En caso de dictarse la sentencia de viva voz, el Letrado de la Administración de Justicia expedirá certificación que recoja todos los pronunciamientos del fallo, con expresa indicación de su firmeza y de la actuación administrativa a que se refiera.  La certificación será expedida en el plazo máximo de cinco días y será notificada a las partes.</w:t>
            </w:r>
          </w:p>
          <w:p w:rsidR="004F01ED" w:rsidRPr="00151078" w:rsidRDefault="004F01ED" w:rsidP="009D0859">
            <w:pPr>
              <w:jc w:val="both"/>
              <w:rPr>
                <w:rFonts w:ascii="Verdana" w:hAnsi="Verdana" w:cs="Times New Roman"/>
                <w:i/>
                <w:color w:val="FF0000"/>
              </w:rPr>
            </w:pPr>
          </w:p>
          <w:p w:rsidR="004F01ED" w:rsidRPr="00CF5A84" w:rsidRDefault="004F01ED" w:rsidP="009D0859">
            <w:pPr>
              <w:jc w:val="both"/>
              <w:rPr>
                <w:rFonts w:ascii="Verdana" w:hAnsi="Verdana" w:cs="Times New Roman"/>
                <w:i/>
                <w:color w:val="FF0000"/>
              </w:rPr>
            </w:pPr>
            <w:r w:rsidRPr="00151078">
              <w:rPr>
                <w:rFonts w:ascii="Verdana" w:hAnsi="Verdana" w:cs="Times New Roman"/>
                <w:i/>
                <w:color w:val="FF0000"/>
              </w:rPr>
              <w:t xml:space="preserve">La certificación se registrará e incorporará al Libro de Sentencias del órgano judicial.  El soporte </w:t>
            </w:r>
            <w:proofErr w:type="spellStart"/>
            <w:r w:rsidRPr="00151078">
              <w:rPr>
                <w:rFonts w:ascii="Verdana" w:hAnsi="Verdana" w:cs="Times New Roman"/>
                <w:i/>
                <w:color w:val="FF0000"/>
              </w:rPr>
              <w:t>videográfico</w:t>
            </w:r>
            <w:proofErr w:type="spellEnd"/>
            <w:r w:rsidRPr="00151078">
              <w:rPr>
                <w:rFonts w:ascii="Verdana" w:hAnsi="Verdana" w:cs="Times New Roman"/>
                <w:i/>
                <w:color w:val="FF0000"/>
              </w:rPr>
              <w:t xml:space="preserve"> de la comparecencia quedará unido al procedimiento</w:t>
            </w:r>
            <w:r>
              <w:rPr>
                <w:rFonts w:ascii="Times New Roman" w:hAnsi="Times New Roman" w:cs="Times New Roman"/>
              </w:rPr>
              <w:t>».</w:t>
            </w:r>
          </w:p>
          <w:p w:rsidR="004F01ED" w:rsidRDefault="004F01ED" w:rsidP="009D0859">
            <w:pPr>
              <w:jc w:val="both"/>
              <w:rPr>
                <w:rFonts w:ascii="Times New Roman" w:hAnsi="Times New Roman" w:cs="Times New Roman"/>
              </w:rPr>
            </w:pPr>
          </w:p>
          <w:p w:rsidR="00D717FD" w:rsidRDefault="00D717FD" w:rsidP="00D717FD">
            <w:pPr>
              <w:jc w:val="both"/>
              <w:rPr>
                <w:rFonts w:ascii="Verdana" w:hAnsi="Verdana"/>
                <w:lang w:val="es-ES_tradnl"/>
              </w:rPr>
            </w:pPr>
            <w:r>
              <w:rPr>
                <w:rFonts w:ascii="Verdana" w:hAnsi="Verdana"/>
                <w:lang w:val="es-ES_tradnl"/>
              </w:rPr>
              <w:t>No requiere la realización de actividades formativas.</w:t>
            </w:r>
          </w:p>
          <w:p w:rsidR="00CF5A84" w:rsidRPr="00CF5A84" w:rsidRDefault="00CF5A84" w:rsidP="00D717FD">
            <w:pPr>
              <w:jc w:val="both"/>
              <w:rPr>
                <w:rFonts w:ascii="Verdana" w:hAnsi="Verdana" w:cs="Times New Roman"/>
              </w:rPr>
            </w:pPr>
          </w:p>
        </w:tc>
      </w:tr>
      <w:tr w:rsidR="004F01ED" w:rsidTr="009D0859">
        <w:tc>
          <w:tcPr>
            <w:tcW w:w="8494" w:type="dxa"/>
            <w:gridSpan w:val="2"/>
          </w:tcPr>
          <w:p w:rsidR="004F01ED" w:rsidRDefault="004F01ED" w:rsidP="009D0859">
            <w:pPr>
              <w:jc w:val="both"/>
              <w:rPr>
                <w:rFonts w:ascii="Verdana" w:hAnsi="Verdana"/>
              </w:rPr>
            </w:pPr>
          </w:p>
          <w:p w:rsidR="004F01ED" w:rsidRDefault="004F01ED" w:rsidP="009D0859">
            <w:pPr>
              <w:jc w:val="both"/>
              <w:rPr>
                <w:rFonts w:ascii="Verdana" w:hAnsi="Verdana"/>
              </w:rPr>
            </w:pPr>
            <w:r>
              <w:rPr>
                <w:rFonts w:ascii="Verdana" w:hAnsi="Verdana"/>
              </w:rPr>
              <w:t>ANÁLISIS DE IMPACTO SOBRE LA SITUACIÓN EXISTENTE:</w:t>
            </w:r>
          </w:p>
          <w:p w:rsidR="004F01ED" w:rsidRDefault="004F01ED" w:rsidP="009D0859">
            <w:pPr>
              <w:jc w:val="both"/>
              <w:rPr>
                <w:rFonts w:ascii="Verdana" w:hAnsi="Verdana"/>
              </w:rPr>
            </w:pPr>
          </w:p>
          <w:p w:rsidR="004F01ED" w:rsidRDefault="004F01ED" w:rsidP="009D0859">
            <w:pPr>
              <w:jc w:val="both"/>
              <w:rPr>
                <w:rFonts w:ascii="Verdana" w:hAnsi="Verdana"/>
              </w:rPr>
            </w:pPr>
            <w:r w:rsidRPr="004E3DC2">
              <w:rPr>
                <w:rFonts w:ascii="Verdana" w:hAnsi="Verdana"/>
              </w:rPr>
              <w:t>a)  Impacto económico:</w:t>
            </w:r>
            <w:r>
              <w:rPr>
                <w:rFonts w:ascii="Verdana" w:hAnsi="Verdana"/>
              </w:rPr>
              <w:t xml:space="preserve"> Esta medida no tiene impacto económico.</w:t>
            </w:r>
          </w:p>
          <w:p w:rsidR="004F01ED" w:rsidRPr="004E3DC2" w:rsidRDefault="004F01ED" w:rsidP="009D0859">
            <w:pPr>
              <w:jc w:val="both"/>
              <w:rPr>
                <w:rFonts w:ascii="Verdana" w:hAnsi="Verdana"/>
              </w:rPr>
            </w:pPr>
          </w:p>
          <w:p w:rsidR="004F01ED" w:rsidRDefault="004F01ED" w:rsidP="009D0859">
            <w:pPr>
              <w:jc w:val="both"/>
              <w:rPr>
                <w:rFonts w:ascii="Verdana" w:hAnsi="Verdana"/>
              </w:rPr>
            </w:pPr>
            <w:r w:rsidRPr="004E3DC2">
              <w:rPr>
                <w:rFonts w:ascii="Verdana" w:hAnsi="Verdana"/>
              </w:rPr>
              <w:t>b) Impacto organizativo: la medida no requiere la aplicación de medios h</w:t>
            </w:r>
            <w:r>
              <w:rPr>
                <w:rFonts w:ascii="Verdana" w:hAnsi="Verdana"/>
              </w:rPr>
              <w:t>umanos o materiales adicionales, sino una mejor gestión de los existentes.</w:t>
            </w:r>
            <w:r w:rsidRPr="004E3DC2">
              <w:rPr>
                <w:rFonts w:ascii="Verdana" w:hAnsi="Verdana"/>
              </w:rPr>
              <w:t xml:space="preserve"> </w:t>
            </w:r>
          </w:p>
          <w:p w:rsidR="004F01ED" w:rsidRPr="004E3DC2" w:rsidRDefault="004F01ED" w:rsidP="009D0859">
            <w:pPr>
              <w:jc w:val="both"/>
              <w:rPr>
                <w:rFonts w:ascii="Verdana" w:hAnsi="Verdana"/>
              </w:rPr>
            </w:pPr>
          </w:p>
          <w:p w:rsidR="004F01ED" w:rsidRDefault="004F01ED" w:rsidP="009D0859">
            <w:pPr>
              <w:jc w:val="both"/>
              <w:rPr>
                <w:rFonts w:ascii="Verdana" w:hAnsi="Verdana"/>
              </w:rPr>
            </w:pPr>
            <w:r w:rsidRPr="004E3DC2">
              <w:rPr>
                <w:rFonts w:ascii="Verdana" w:hAnsi="Verdana"/>
              </w:rPr>
              <w:t>c) Impacto normativo:</w:t>
            </w:r>
            <w:r>
              <w:rPr>
                <w:rFonts w:ascii="Verdana" w:hAnsi="Verdana"/>
              </w:rPr>
              <w:t xml:space="preserve"> la medida no requiere concordancia con otras normas procesales diferentes de aquellas cuyo régimen transitorio se regula.</w:t>
            </w:r>
          </w:p>
          <w:p w:rsidR="004F01ED" w:rsidRDefault="004F01ED" w:rsidP="009D0859">
            <w:pPr>
              <w:jc w:val="both"/>
              <w:rPr>
                <w:rFonts w:ascii="Verdana" w:hAnsi="Verdana"/>
              </w:rPr>
            </w:pPr>
          </w:p>
        </w:tc>
      </w:tr>
      <w:tr w:rsidR="004F01ED" w:rsidTr="009D0859">
        <w:tc>
          <w:tcPr>
            <w:tcW w:w="8494" w:type="dxa"/>
            <w:gridSpan w:val="2"/>
          </w:tcPr>
          <w:p w:rsidR="004F01ED" w:rsidRDefault="004F01ED" w:rsidP="009D0859">
            <w:pPr>
              <w:jc w:val="both"/>
              <w:rPr>
                <w:rFonts w:ascii="Verdana" w:hAnsi="Verdana"/>
              </w:rPr>
            </w:pPr>
          </w:p>
          <w:p w:rsidR="00CF5A84" w:rsidRDefault="00CF5A84" w:rsidP="009D0859">
            <w:pPr>
              <w:jc w:val="both"/>
              <w:rPr>
                <w:rFonts w:ascii="Verdana" w:hAnsi="Verdana"/>
              </w:rPr>
            </w:pPr>
          </w:p>
          <w:p w:rsidR="004F01ED" w:rsidRDefault="004F01ED" w:rsidP="009D0859">
            <w:pPr>
              <w:jc w:val="both"/>
              <w:rPr>
                <w:rFonts w:ascii="Verdana" w:hAnsi="Verdana"/>
              </w:rPr>
            </w:pPr>
            <w:r>
              <w:rPr>
                <w:rFonts w:ascii="Verdana" w:hAnsi="Verdana"/>
              </w:rPr>
              <w:t>ANÁLISIS DE IMPACTO PREVISIBLE SOBRE LA SITUACIÓN FUTURA:</w:t>
            </w:r>
          </w:p>
          <w:p w:rsidR="004F01ED" w:rsidRDefault="004F01ED" w:rsidP="009D0859">
            <w:pPr>
              <w:jc w:val="both"/>
              <w:rPr>
                <w:rFonts w:ascii="Verdana" w:hAnsi="Verdana"/>
              </w:rPr>
            </w:pPr>
          </w:p>
          <w:p w:rsidR="004F01ED" w:rsidRDefault="004F01ED" w:rsidP="009D0859">
            <w:pPr>
              <w:jc w:val="both"/>
              <w:rPr>
                <w:rFonts w:ascii="Verdana" w:hAnsi="Verdana"/>
              </w:rPr>
            </w:pPr>
            <w:r>
              <w:rPr>
                <w:rFonts w:ascii="Verdana" w:hAnsi="Verdana"/>
              </w:rPr>
              <w:t>Permitirá la inmediatez de los efectos de eficacia y agilización de los procedimientos</w:t>
            </w:r>
            <w:r w:rsidR="00CF5A84">
              <w:rPr>
                <w:rFonts w:ascii="Verdana" w:hAnsi="Verdana"/>
              </w:rPr>
              <w:t>, restringiendo a los supuestos ineludibles la necesidad de contacto social</w:t>
            </w:r>
            <w:r>
              <w:rPr>
                <w:rFonts w:ascii="Verdana" w:hAnsi="Verdana"/>
              </w:rPr>
              <w:t>.</w:t>
            </w:r>
          </w:p>
          <w:p w:rsidR="004F01ED" w:rsidRDefault="004F01ED" w:rsidP="009D0859">
            <w:pPr>
              <w:jc w:val="both"/>
              <w:rPr>
                <w:rFonts w:ascii="Verdana" w:hAnsi="Verdana"/>
              </w:rPr>
            </w:pPr>
          </w:p>
          <w:p w:rsidR="004F01ED" w:rsidRPr="006264F2" w:rsidRDefault="004F01ED" w:rsidP="009D0859">
            <w:pPr>
              <w:jc w:val="both"/>
              <w:rPr>
                <w:rFonts w:ascii="Verdana" w:hAnsi="Verdana"/>
              </w:rPr>
            </w:pPr>
          </w:p>
          <w:p w:rsidR="004F01ED" w:rsidRPr="006264F2" w:rsidRDefault="004F01ED" w:rsidP="009D0859">
            <w:pPr>
              <w:jc w:val="both"/>
              <w:rPr>
                <w:rFonts w:ascii="Verdana" w:hAnsi="Verdana"/>
                <w:iCs/>
              </w:rPr>
            </w:pPr>
            <w:r w:rsidRPr="006264F2">
              <w:rPr>
                <w:rFonts w:ascii="Verdana" w:hAnsi="Verdana"/>
              </w:rPr>
              <w:t>Para tratar de evaluar la dimensión del posible impacto de uno de los aspectos de la medida</w:t>
            </w:r>
            <w:r>
              <w:rPr>
                <w:rFonts w:ascii="Verdana" w:hAnsi="Verdana"/>
              </w:rPr>
              <w:t xml:space="preserve"> (régimen transitorio de los procedimientos abreviados en tramitación)</w:t>
            </w:r>
            <w:r w:rsidRPr="006264F2">
              <w:rPr>
                <w:rFonts w:ascii="Verdana" w:hAnsi="Verdana"/>
              </w:rPr>
              <w:t>, debe tenerse presente que, según los datos de la estadística judicial, al finalizar el año 2019 había 70.165 procedimientos abreviados en trámite en los Juzgados de lo Contencioso-administrativo y 807 procedimientos de la misma clase en los Juzgados Centrales de lo Contencioso-administrativo.</w:t>
            </w:r>
          </w:p>
          <w:p w:rsidR="004F01ED" w:rsidRDefault="004F01ED" w:rsidP="009D0859">
            <w:pPr>
              <w:jc w:val="both"/>
              <w:rPr>
                <w:rFonts w:ascii="Verdana" w:hAnsi="Verdana"/>
              </w:rPr>
            </w:pPr>
          </w:p>
          <w:p w:rsidR="004F01ED" w:rsidRDefault="004F01ED" w:rsidP="009D0859">
            <w:pPr>
              <w:jc w:val="both"/>
              <w:rPr>
                <w:rFonts w:ascii="Verdana" w:hAnsi="Verdana"/>
              </w:rPr>
            </w:pPr>
          </w:p>
        </w:tc>
      </w:tr>
      <w:tr w:rsidR="004F01ED" w:rsidTr="009D0859">
        <w:tc>
          <w:tcPr>
            <w:tcW w:w="8494" w:type="dxa"/>
            <w:gridSpan w:val="2"/>
          </w:tcPr>
          <w:p w:rsidR="00CF5A84" w:rsidRDefault="00CF5A84" w:rsidP="009D0859">
            <w:pPr>
              <w:jc w:val="both"/>
              <w:rPr>
                <w:rFonts w:ascii="Verdana" w:hAnsi="Verdana"/>
              </w:rPr>
            </w:pPr>
          </w:p>
          <w:p w:rsidR="004F01ED" w:rsidRDefault="004F01ED" w:rsidP="009D0859">
            <w:pPr>
              <w:jc w:val="both"/>
              <w:rPr>
                <w:rFonts w:ascii="Verdana" w:hAnsi="Verdana"/>
                <w:i/>
                <w:iCs/>
                <w:color w:val="FF0000"/>
              </w:rPr>
            </w:pPr>
            <w:r>
              <w:rPr>
                <w:rFonts w:ascii="Verdana" w:hAnsi="Verdana"/>
              </w:rPr>
              <w:t xml:space="preserve">DURACIÓN DE LA MEDIDA: </w:t>
            </w:r>
          </w:p>
          <w:p w:rsidR="004F01ED" w:rsidRDefault="004F01ED" w:rsidP="009D0859">
            <w:pPr>
              <w:jc w:val="both"/>
              <w:rPr>
                <w:rFonts w:ascii="Verdana" w:hAnsi="Verdana"/>
                <w:i/>
                <w:iCs/>
                <w:color w:val="FF0000"/>
              </w:rPr>
            </w:pPr>
          </w:p>
          <w:p w:rsidR="004F01ED" w:rsidRPr="003525B8" w:rsidRDefault="004F01ED" w:rsidP="009D0859">
            <w:pPr>
              <w:jc w:val="both"/>
              <w:rPr>
                <w:rFonts w:ascii="Verdana" w:hAnsi="Verdana"/>
                <w:iCs/>
              </w:rPr>
            </w:pPr>
            <w:r>
              <w:rPr>
                <w:rFonts w:ascii="Verdana" w:hAnsi="Verdana"/>
                <w:iCs/>
              </w:rPr>
              <w:t>Al ser una norma transitoria, tendría la duración limitada en el tiempo propia de su carácter.</w:t>
            </w:r>
          </w:p>
          <w:p w:rsidR="004F01ED" w:rsidRDefault="004F01ED" w:rsidP="009D0859">
            <w:pPr>
              <w:jc w:val="both"/>
              <w:rPr>
                <w:rFonts w:ascii="Verdana" w:hAnsi="Verdana"/>
              </w:rPr>
            </w:pPr>
          </w:p>
          <w:p w:rsidR="00CF5A84" w:rsidRDefault="00CF5A84" w:rsidP="009D0859">
            <w:pPr>
              <w:jc w:val="both"/>
              <w:rPr>
                <w:rFonts w:ascii="Verdana" w:hAnsi="Verdana"/>
              </w:rPr>
            </w:pPr>
          </w:p>
        </w:tc>
      </w:tr>
      <w:tr w:rsidR="004F01ED" w:rsidRPr="00D64547" w:rsidTr="009D0859">
        <w:tc>
          <w:tcPr>
            <w:tcW w:w="8494" w:type="dxa"/>
            <w:gridSpan w:val="2"/>
          </w:tcPr>
          <w:p w:rsidR="004F01ED" w:rsidRDefault="004F01ED" w:rsidP="009D0859">
            <w:pPr>
              <w:jc w:val="both"/>
              <w:rPr>
                <w:rFonts w:ascii="Verdana" w:hAnsi="Verdana"/>
              </w:rPr>
            </w:pPr>
          </w:p>
          <w:p w:rsidR="004F01ED" w:rsidRDefault="004F01ED" w:rsidP="009D0859">
            <w:pPr>
              <w:jc w:val="both"/>
              <w:rPr>
                <w:rFonts w:ascii="Verdana" w:hAnsi="Verdana"/>
                <w:i/>
                <w:iCs/>
                <w:color w:val="FF0000"/>
              </w:rPr>
            </w:pPr>
            <w:r>
              <w:rPr>
                <w:rFonts w:ascii="Verdana" w:hAnsi="Verdana"/>
              </w:rPr>
              <w:t xml:space="preserve">NIVEL DE PRIORIDAD/URGENCIA: </w:t>
            </w:r>
          </w:p>
          <w:p w:rsidR="004F01ED" w:rsidRDefault="004F01ED" w:rsidP="009D0859">
            <w:pPr>
              <w:jc w:val="both"/>
              <w:rPr>
                <w:rFonts w:ascii="Verdana" w:hAnsi="Verdana"/>
                <w:i/>
                <w:iCs/>
                <w:color w:val="FF0000"/>
              </w:rPr>
            </w:pPr>
          </w:p>
          <w:p w:rsidR="004F01ED" w:rsidRPr="00CF5A84" w:rsidRDefault="004F01ED" w:rsidP="009D0859">
            <w:pPr>
              <w:jc w:val="both"/>
              <w:rPr>
                <w:rFonts w:ascii="Verdana" w:hAnsi="Verdana"/>
                <w:iCs/>
              </w:rPr>
            </w:pPr>
            <w:r>
              <w:rPr>
                <w:rFonts w:ascii="Verdana" w:hAnsi="Verdana"/>
                <w:iCs/>
              </w:rPr>
              <w:t xml:space="preserve"> Alta</w:t>
            </w:r>
          </w:p>
        </w:tc>
      </w:tr>
      <w:tr w:rsidR="00CF5A84" w:rsidRPr="00D64547" w:rsidTr="009D0859">
        <w:tc>
          <w:tcPr>
            <w:tcW w:w="8494" w:type="dxa"/>
            <w:gridSpan w:val="2"/>
          </w:tcPr>
          <w:p w:rsidR="00CF5A84" w:rsidRDefault="00CF5A84" w:rsidP="009D0859">
            <w:pPr>
              <w:jc w:val="both"/>
              <w:rPr>
                <w:rFonts w:ascii="Verdana" w:hAnsi="Verdana"/>
              </w:rPr>
            </w:pPr>
          </w:p>
          <w:p w:rsidR="00CF5A84" w:rsidRDefault="00CF5A84" w:rsidP="009D0859">
            <w:pPr>
              <w:jc w:val="both"/>
              <w:rPr>
                <w:rFonts w:ascii="Verdana" w:hAnsi="Verdana"/>
              </w:rPr>
            </w:pPr>
            <w:r>
              <w:rPr>
                <w:rFonts w:ascii="Verdana" w:hAnsi="Verdana"/>
              </w:rPr>
              <w:t>ANEXO:</w:t>
            </w:r>
          </w:p>
          <w:p w:rsidR="00CF5A84" w:rsidRDefault="00CF5A84" w:rsidP="009D0859">
            <w:pPr>
              <w:jc w:val="both"/>
              <w:rPr>
                <w:rFonts w:ascii="Verdana" w:hAnsi="Verdana"/>
              </w:rPr>
            </w:pPr>
          </w:p>
        </w:tc>
      </w:tr>
    </w:tbl>
    <w:p w:rsidR="002E578F" w:rsidRDefault="002E578F"/>
    <w:sectPr w:rsidR="002E57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506B"/>
    <w:multiLevelType w:val="hybridMultilevel"/>
    <w:tmpl w:val="C5F4D2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591649E"/>
    <w:multiLevelType w:val="hybridMultilevel"/>
    <w:tmpl w:val="A2CA9E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F119A1"/>
    <w:multiLevelType w:val="hybridMultilevel"/>
    <w:tmpl w:val="D352A50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326F194F"/>
    <w:multiLevelType w:val="hybridMultilevel"/>
    <w:tmpl w:val="2B4EB8C6"/>
    <w:lvl w:ilvl="0" w:tplc="0C0A000F">
      <w:start w:val="1"/>
      <w:numFmt w:val="decimal"/>
      <w:lvlText w:val="%1."/>
      <w:lvlJc w:val="left"/>
      <w:pPr>
        <w:ind w:left="795" w:hanging="360"/>
      </w:pPr>
    </w:lvl>
    <w:lvl w:ilvl="1" w:tplc="0C0A0019">
      <w:start w:val="1"/>
      <w:numFmt w:val="lowerLetter"/>
      <w:lvlText w:val="%2."/>
      <w:lvlJc w:val="left"/>
      <w:pPr>
        <w:ind w:left="1515" w:hanging="360"/>
      </w:pPr>
    </w:lvl>
    <w:lvl w:ilvl="2" w:tplc="0C0A001B">
      <w:start w:val="1"/>
      <w:numFmt w:val="lowerRoman"/>
      <w:lvlText w:val="%3."/>
      <w:lvlJc w:val="right"/>
      <w:pPr>
        <w:ind w:left="2235" w:hanging="180"/>
      </w:pPr>
    </w:lvl>
    <w:lvl w:ilvl="3" w:tplc="0C0A000F">
      <w:start w:val="1"/>
      <w:numFmt w:val="decimal"/>
      <w:lvlText w:val="%4."/>
      <w:lvlJc w:val="left"/>
      <w:pPr>
        <w:ind w:left="2955" w:hanging="360"/>
      </w:pPr>
    </w:lvl>
    <w:lvl w:ilvl="4" w:tplc="0C0A0019">
      <w:start w:val="1"/>
      <w:numFmt w:val="lowerLetter"/>
      <w:lvlText w:val="%5."/>
      <w:lvlJc w:val="left"/>
      <w:pPr>
        <w:ind w:left="3675" w:hanging="360"/>
      </w:pPr>
    </w:lvl>
    <w:lvl w:ilvl="5" w:tplc="0C0A001B">
      <w:start w:val="1"/>
      <w:numFmt w:val="lowerRoman"/>
      <w:lvlText w:val="%6."/>
      <w:lvlJc w:val="right"/>
      <w:pPr>
        <w:ind w:left="4395" w:hanging="180"/>
      </w:pPr>
    </w:lvl>
    <w:lvl w:ilvl="6" w:tplc="0C0A000F">
      <w:start w:val="1"/>
      <w:numFmt w:val="decimal"/>
      <w:lvlText w:val="%7."/>
      <w:lvlJc w:val="left"/>
      <w:pPr>
        <w:ind w:left="5115" w:hanging="360"/>
      </w:pPr>
    </w:lvl>
    <w:lvl w:ilvl="7" w:tplc="0C0A0019">
      <w:start w:val="1"/>
      <w:numFmt w:val="lowerLetter"/>
      <w:lvlText w:val="%8."/>
      <w:lvlJc w:val="left"/>
      <w:pPr>
        <w:ind w:left="5835" w:hanging="360"/>
      </w:pPr>
    </w:lvl>
    <w:lvl w:ilvl="8" w:tplc="0C0A001B">
      <w:start w:val="1"/>
      <w:numFmt w:val="lowerRoman"/>
      <w:lvlText w:val="%9."/>
      <w:lvlJc w:val="right"/>
      <w:pPr>
        <w:ind w:left="655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ED"/>
    <w:rsid w:val="00050757"/>
    <w:rsid w:val="000A5353"/>
    <w:rsid w:val="002E578F"/>
    <w:rsid w:val="00444E8B"/>
    <w:rsid w:val="004D6A9B"/>
    <w:rsid w:val="004F01ED"/>
    <w:rsid w:val="00761C0D"/>
    <w:rsid w:val="00882236"/>
    <w:rsid w:val="00915B15"/>
    <w:rsid w:val="0097243F"/>
    <w:rsid w:val="009C5403"/>
    <w:rsid w:val="00BD4958"/>
    <w:rsid w:val="00BE612D"/>
    <w:rsid w:val="00C50356"/>
    <w:rsid w:val="00CF5A84"/>
    <w:rsid w:val="00D717FD"/>
    <w:rsid w:val="00FF6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54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F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5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9680">
      <w:bodyDiv w:val="1"/>
      <w:marLeft w:val="0"/>
      <w:marRight w:val="0"/>
      <w:marTop w:val="0"/>
      <w:marBottom w:val="0"/>
      <w:divBdr>
        <w:top w:val="none" w:sz="0" w:space="0" w:color="auto"/>
        <w:left w:val="none" w:sz="0" w:space="0" w:color="auto"/>
        <w:bottom w:val="none" w:sz="0" w:space="0" w:color="auto"/>
        <w:right w:val="none" w:sz="0" w:space="0" w:color="auto"/>
      </w:divBdr>
    </w:div>
    <w:div w:id="7593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Rosario Moreno-Cervera Ramírez</dc:creator>
  <cp:lastModifiedBy>Susana Crisostomo Sanz</cp:lastModifiedBy>
  <cp:revision>2</cp:revision>
  <dcterms:created xsi:type="dcterms:W3CDTF">2020-04-19T08:32:00Z</dcterms:created>
  <dcterms:modified xsi:type="dcterms:W3CDTF">2020-04-19T08:32:00Z</dcterms:modified>
</cp:coreProperties>
</file>